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8FD" w:rsidRPr="00C938FD" w:rsidRDefault="00C938FD" w:rsidP="00C938FD">
      <w:pPr>
        <w:rPr>
          <w:b/>
        </w:rPr>
      </w:pPr>
      <w:r>
        <w:tab/>
      </w:r>
      <w:r w:rsidRPr="00C938FD">
        <w:rPr>
          <w:b/>
          <w:sz w:val="24"/>
        </w:rPr>
        <w:t xml:space="preserve">B. </w:t>
      </w:r>
      <w:r w:rsidRPr="00C938FD">
        <w:rPr>
          <w:b/>
          <w:sz w:val="24"/>
          <w:u w:val="single"/>
        </w:rPr>
        <w:t>Des espaces industriels en pleine transformation</w:t>
      </w:r>
    </w:p>
    <w:p w:rsidR="00C938FD" w:rsidRPr="00602E0D" w:rsidRDefault="00C938FD" w:rsidP="00C938FD">
      <w:pPr>
        <w:pStyle w:val="NormalWeb"/>
        <w:tabs>
          <w:tab w:val="left" w:pos="700"/>
        </w:tabs>
        <w:spacing w:before="0" w:beforeAutospacing="0" w:after="0" w:afterAutospacing="0"/>
        <w:ind w:firstLine="562"/>
      </w:pPr>
      <w:r w:rsidRPr="00602E0D">
        <w:rPr>
          <w:rFonts w:ascii="Calibri" w:eastAsia="+mn-ea" w:hAnsi="Calibri" w:cs="+mn-cs"/>
          <w:kern w:val="24"/>
          <w:sz w:val="48"/>
          <w:szCs w:val="48"/>
        </w:rPr>
        <w:tab/>
      </w:r>
      <w:r w:rsidRPr="00AE7008">
        <w:rPr>
          <w:rFonts w:ascii="Calibri" w:eastAsia="+mn-ea" w:hAnsi="Calibri" w:cs="+mn-cs"/>
          <w:b/>
          <w:kern w:val="24"/>
        </w:rPr>
        <w:t>La France est la 7</w:t>
      </w:r>
      <w:proofErr w:type="spellStart"/>
      <w:r w:rsidR="00602E0D" w:rsidRPr="00AE7008">
        <w:rPr>
          <w:rFonts w:ascii="Calibri" w:eastAsia="+mn-ea" w:hAnsi="Calibri" w:cs="+mn-cs"/>
          <w:b/>
          <w:kern w:val="24"/>
          <w:position w:val="13"/>
          <w:vertAlign w:val="superscript"/>
        </w:rPr>
        <w:t>ème</w:t>
      </w:r>
      <w:proofErr w:type="spellEnd"/>
      <w:r w:rsidRPr="00AE7008">
        <w:rPr>
          <w:rFonts w:ascii="Calibri" w:eastAsia="+mn-ea" w:hAnsi="Calibri" w:cs="+mn-cs"/>
          <w:b/>
          <w:kern w:val="24"/>
        </w:rPr>
        <w:t xml:space="preserve"> puissance industrielle mondiale</w:t>
      </w:r>
      <w:r w:rsidRPr="00602E0D">
        <w:rPr>
          <w:rFonts w:ascii="Calibri" w:eastAsia="+mn-ea" w:hAnsi="Calibri" w:cs="+mn-cs"/>
          <w:kern w:val="24"/>
        </w:rPr>
        <w:t>, mais la part de l’industrie dans le PIB et l’emploi (14%) baisse sans arrêt depuis 10 ans. De nombreux sites de production ont subi une délocalisation. Elle possède des grandes firmes bien intégrées à la mondialisation (Airbus, Michelin…)</w:t>
      </w:r>
    </w:p>
    <w:p w:rsidR="00AE7008" w:rsidRDefault="00D82B3E" w:rsidP="00C938FD">
      <w:pPr>
        <w:pStyle w:val="NormalWeb"/>
        <w:spacing w:before="0" w:beforeAutospacing="0" w:after="0" w:afterAutospacing="0"/>
        <w:ind w:left="850" w:hanging="850"/>
        <w:rPr>
          <w:rFonts w:ascii="Calibri" w:eastAsia="+mn-ea" w:hAnsi="Calibri" w:cs="+mn-cs"/>
          <w:kern w:val="24"/>
        </w:rPr>
      </w:pPr>
      <w:r>
        <w:rPr>
          <w:rFonts w:ascii="Calibri" w:eastAsia="+mn-ea" w:hAnsi="Calibri" w:cs="+mn-cs"/>
          <w:kern w:val="24"/>
        </w:rPr>
        <w:tab/>
      </w:r>
    </w:p>
    <w:p w:rsidR="00C938FD" w:rsidRPr="00AE7008" w:rsidRDefault="00D82B3E" w:rsidP="00AE7008">
      <w:pPr>
        <w:pStyle w:val="NormalWeb"/>
        <w:spacing w:before="0" w:beforeAutospacing="0" w:after="0" w:afterAutospacing="0"/>
        <w:ind w:left="850" w:hanging="142"/>
        <w:rPr>
          <w:b/>
        </w:rPr>
      </w:pPr>
      <w:r w:rsidRPr="00AE7008">
        <w:rPr>
          <w:rFonts w:ascii="Calibri" w:eastAsia="+mn-ea" w:hAnsi="Calibri" w:cs="+mn-cs"/>
          <w:b/>
          <w:kern w:val="24"/>
        </w:rPr>
        <w:t>Les espaces industriel</w:t>
      </w:r>
      <w:r w:rsidR="00C938FD" w:rsidRPr="00AE7008">
        <w:rPr>
          <w:rFonts w:ascii="Calibri" w:eastAsia="+mn-ea" w:hAnsi="Calibri" w:cs="+mn-cs"/>
          <w:b/>
          <w:kern w:val="24"/>
        </w:rPr>
        <w:t xml:space="preserve">s connaissent de grandes transformations : </w:t>
      </w:r>
    </w:p>
    <w:p w:rsidR="00C938FD" w:rsidRPr="00602E0D" w:rsidRDefault="00C938FD" w:rsidP="00C938FD">
      <w:pPr>
        <w:pStyle w:val="Paragraphedeliste"/>
        <w:numPr>
          <w:ilvl w:val="0"/>
          <w:numId w:val="1"/>
        </w:numPr>
      </w:pPr>
      <w:r w:rsidRPr="00602E0D">
        <w:rPr>
          <w:rFonts w:ascii="Calibri" w:eastAsia="+mn-ea" w:hAnsi="Calibri" w:cs="+mn-cs"/>
          <w:kern w:val="24"/>
        </w:rPr>
        <w:t>Les industries traditionnelles (métallurgie, textile, etc.) installées à l'Est, fondées sur l'exploitation d</w:t>
      </w:r>
      <w:bookmarkStart w:id="0" w:name="_GoBack"/>
      <w:bookmarkEnd w:id="0"/>
      <w:r w:rsidRPr="00602E0D">
        <w:rPr>
          <w:rFonts w:ascii="Calibri" w:eastAsia="+mn-ea" w:hAnsi="Calibri" w:cs="+mn-cs"/>
          <w:kern w:val="24"/>
        </w:rPr>
        <w:t xml:space="preserve">es matières premières, connaissent une crise importante et sont concurrencées par les industries des pays émergents. Pour ces régions, l'enjeu est souvent la reconversion économique (ex. des Ardennes ou de la Lorraine). </w:t>
      </w:r>
    </w:p>
    <w:p w:rsidR="00C938FD" w:rsidRPr="00602E0D" w:rsidRDefault="00C938FD" w:rsidP="00C938FD">
      <w:pPr>
        <w:pStyle w:val="Paragraphedeliste"/>
        <w:numPr>
          <w:ilvl w:val="0"/>
          <w:numId w:val="1"/>
        </w:numPr>
      </w:pPr>
      <w:r w:rsidRPr="00602E0D">
        <w:rPr>
          <w:rFonts w:ascii="Calibri" w:eastAsia="+mn-ea" w:hAnsi="Calibri" w:cs="+mn-cs"/>
          <w:kern w:val="24"/>
        </w:rPr>
        <w:t xml:space="preserve">Paris et le Rhône-Alpes restent les deux principales régions industrielles. </w:t>
      </w:r>
    </w:p>
    <w:p w:rsidR="00C938FD" w:rsidRPr="00602E0D" w:rsidRDefault="00C938FD" w:rsidP="00D82B3E">
      <w:pPr>
        <w:pStyle w:val="NormalWeb"/>
        <w:spacing w:before="0" w:beforeAutospacing="0" w:after="0" w:afterAutospacing="0"/>
        <w:ind w:firstLine="360"/>
      </w:pPr>
      <w:r w:rsidRPr="00602E0D">
        <w:rPr>
          <w:rFonts w:ascii="Calibri" w:eastAsia="+mn-ea" w:hAnsi="Calibri" w:cs="+mn-cs"/>
          <w:kern w:val="24"/>
        </w:rPr>
        <w:t xml:space="preserve">-   </w:t>
      </w:r>
      <w:r w:rsidR="00AE7008">
        <w:rPr>
          <w:rFonts w:ascii="Calibri" w:eastAsia="+mn-ea" w:hAnsi="Calibri" w:cs="+mn-cs"/>
          <w:kern w:val="24"/>
        </w:rPr>
        <w:t xml:space="preserve">  </w:t>
      </w:r>
      <w:r w:rsidRPr="00602E0D">
        <w:rPr>
          <w:rFonts w:ascii="Calibri" w:eastAsia="+mn-ea" w:hAnsi="Calibri" w:cs="+mn-cs"/>
          <w:kern w:val="24"/>
        </w:rPr>
        <w:t xml:space="preserve">Les régions attractives du Sud et de l'Ouest connaissent depuis 30 ans un nouvel essor industriel grâce aux politiques d'aménagement nationales : déconcentration industrielle, création des zones industrialo-portuaires (ZIP), pôles de compétitivité (Aerospace </w:t>
      </w:r>
      <w:proofErr w:type="spellStart"/>
      <w:r w:rsidRPr="00602E0D">
        <w:rPr>
          <w:rFonts w:ascii="Calibri" w:eastAsia="+mn-ea" w:hAnsi="Calibri" w:cs="+mn-cs"/>
          <w:kern w:val="24"/>
        </w:rPr>
        <w:t>Valley</w:t>
      </w:r>
      <w:proofErr w:type="spellEnd"/>
      <w:r w:rsidRPr="00602E0D">
        <w:rPr>
          <w:rFonts w:ascii="Calibri" w:eastAsia="+mn-ea" w:hAnsi="Calibri" w:cs="+mn-cs"/>
          <w:kern w:val="24"/>
        </w:rPr>
        <w:t xml:space="preserve">).  S’y développent des activités de recherche et de conception, dans le cadre des technopôles notamment. </w:t>
      </w:r>
    </w:p>
    <w:p w:rsidR="00C938FD" w:rsidRPr="00602E0D" w:rsidRDefault="00C938FD" w:rsidP="00C938FD">
      <w:pPr>
        <w:pStyle w:val="NormalWeb"/>
        <w:spacing w:before="0" w:beforeAutospacing="0" w:after="0" w:afterAutospacing="0"/>
        <w:rPr>
          <w:i/>
        </w:rPr>
      </w:pPr>
      <w:r w:rsidRPr="00602E0D">
        <w:rPr>
          <w:rFonts w:ascii="Calibri" w:eastAsia="+mn-ea" w:hAnsi="Calibri" w:cs="+mn-cs"/>
          <w:i/>
          <w:kern w:val="24"/>
          <w:u w:val="single"/>
        </w:rPr>
        <w:t xml:space="preserve">Une délocalisation </w:t>
      </w:r>
      <w:r w:rsidRPr="00602E0D">
        <w:rPr>
          <w:rFonts w:ascii="Calibri" w:eastAsia="+mn-ea" w:hAnsi="Calibri" w:cs="+mn-cs"/>
          <w:i/>
          <w:kern w:val="24"/>
        </w:rPr>
        <w:t>: le transfert d’un site de production à l’étranger.</w:t>
      </w:r>
    </w:p>
    <w:p w:rsidR="00C938FD" w:rsidRPr="00602E0D" w:rsidRDefault="00C938FD" w:rsidP="00C938FD">
      <w:pPr>
        <w:pStyle w:val="NormalWeb"/>
        <w:spacing w:before="0" w:beforeAutospacing="0" w:after="0" w:afterAutospacing="0"/>
        <w:rPr>
          <w:i/>
        </w:rPr>
      </w:pPr>
      <w:proofErr w:type="gramStart"/>
      <w:r w:rsidRPr="00602E0D">
        <w:rPr>
          <w:rFonts w:ascii="Calibri" w:eastAsia="+mn-ea" w:hAnsi="Calibri" w:cs="+mn-cs"/>
          <w:i/>
          <w:kern w:val="24"/>
          <w:u w:val="single"/>
        </w:rPr>
        <w:t>Une</w:t>
      </w:r>
      <w:proofErr w:type="gramEnd"/>
      <w:r w:rsidRPr="00602E0D">
        <w:rPr>
          <w:rFonts w:ascii="Calibri" w:eastAsia="+mn-ea" w:hAnsi="Calibri" w:cs="+mn-cs"/>
          <w:i/>
          <w:kern w:val="24"/>
          <w:u w:val="single"/>
        </w:rPr>
        <w:t xml:space="preserve"> technopôle </w:t>
      </w:r>
      <w:r w:rsidRPr="00602E0D">
        <w:rPr>
          <w:rFonts w:ascii="Calibri" w:eastAsia="+mn-ea" w:hAnsi="Calibri" w:cs="+mn-cs"/>
          <w:i/>
          <w:kern w:val="24"/>
        </w:rPr>
        <w:t>: une ville concentrant de nombreuses activités de hautes technologies.</w:t>
      </w:r>
    </w:p>
    <w:p w:rsidR="00602E0D" w:rsidRPr="00C938FD" w:rsidRDefault="00602E0D" w:rsidP="00C938FD">
      <w:pPr>
        <w:rPr>
          <w:sz w:val="24"/>
          <w:szCs w:val="24"/>
        </w:rPr>
      </w:pPr>
    </w:p>
    <w:p w:rsidR="00455219" w:rsidRDefault="00602E0D" w:rsidP="00602E0D">
      <w:pPr>
        <w:jc w:val="center"/>
        <w:rPr>
          <w:sz w:val="24"/>
          <w:szCs w:val="24"/>
        </w:rPr>
      </w:pPr>
      <w:r>
        <w:rPr>
          <w:noProof/>
          <w:lang w:eastAsia="fr-FR"/>
        </w:rPr>
        <w:drawing>
          <wp:inline distT="0" distB="0" distL="0" distR="0" wp14:anchorId="15FE6FBF" wp14:editId="39C340A3">
            <wp:extent cx="4533900" cy="4388330"/>
            <wp:effectExtent l="19050" t="19050" r="19050" b="1270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6858" cy="4391193"/>
                    </a:xfrm>
                    <a:prstGeom prst="rect">
                      <a:avLst/>
                    </a:prstGeom>
                    <a:noFill/>
                    <a:ln w="9525">
                      <a:solidFill>
                        <a:schemeClr val="tx1"/>
                      </a:solidFill>
                      <a:miter lim="800000"/>
                      <a:headEnd/>
                      <a:tailEnd/>
                    </a:ln>
                    <a:extLst/>
                  </pic:spPr>
                </pic:pic>
              </a:graphicData>
            </a:graphic>
          </wp:inline>
        </w:drawing>
      </w:r>
    </w:p>
    <w:p w:rsidR="00602E0D" w:rsidRPr="00602E0D" w:rsidRDefault="00602E0D" w:rsidP="00602E0D">
      <w:pPr>
        <w:jc w:val="center"/>
        <w:rPr>
          <w:b/>
          <w:sz w:val="24"/>
          <w:szCs w:val="24"/>
          <w:u w:val="single"/>
        </w:rPr>
      </w:pPr>
      <w:r w:rsidRPr="00602E0D">
        <w:rPr>
          <w:b/>
          <w:sz w:val="24"/>
          <w:szCs w:val="24"/>
          <w:u w:val="single"/>
        </w:rPr>
        <w:t xml:space="preserve">Croquis de </w:t>
      </w:r>
      <w:r w:rsidRPr="00602E0D">
        <w:rPr>
          <w:b/>
          <w:sz w:val="24"/>
          <w:szCs w:val="24"/>
          <w:u w:val="single"/>
        </w:rPr>
        <w:t>l</w:t>
      </w:r>
      <w:r w:rsidRPr="00602E0D">
        <w:rPr>
          <w:b/>
          <w:sz w:val="24"/>
          <w:szCs w:val="24"/>
          <w:u w:val="single"/>
        </w:rPr>
        <w:t>a localis</w:t>
      </w:r>
      <w:r w:rsidRPr="00602E0D">
        <w:rPr>
          <w:b/>
          <w:sz w:val="24"/>
          <w:szCs w:val="24"/>
          <w:u w:val="single"/>
        </w:rPr>
        <w:t>ation de l’industrie en France</w:t>
      </w:r>
    </w:p>
    <w:sectPr w:rsidR="00602E0D" w:rsidRPr="00602E0D" w:rsidSect="00602E0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E3EA4"/>
    <w:multiLevelType w:val="hybridMultilevel"/>
    <w:tmpl w:val="ACE8CDFC"/>
    <w:lvl w:ilvl="0" w:tplc="C8DADCC4">
      <w:start w:val="1"/>
      <w:numFmt w:val="bullet"/>
      <w:lvlText w:val="-"/>
      <w:lvlJc w:val="left"/>
      <w:pPr>
        <w:tabs>
          <w:tab w:val="num" w:pos="720"/>
        </w:tabs>
        <w:ind w:left="720" w:hanging="360"/>
      </w:pPr>
      <w:rPr>
        <w:rFonts w:ascii="Times New Roman" w:hAnsi="Times New Roman" w:hint="default"/>
      </w:rPr>
    </w:lvl>
    <w:lvl w:ilvl="1" w:tplc="05DAF348" w:tentative="1">
      <w:start w:val="1"/>
      <w:numFmt w:val="bullet"/>
      <w:lvlText w:val="-"/>
      <w:lvlJc w:val="left"/>
      <w:pPr>
        <w:tabs>
          <w:tab w:val="num" w:pos="1440"/>
        </w:tabs>
        <w:ind w:left="1440" w:hanging="360"/>
      </w:pPr>
      <w:rPr>
        <w:rFonts w:ascii="Times New Roman" w:hAnsi="Times New Roman" w:hint="default"/>
      </w:rPr>
    </w:lvl>
    <w:lvl w:ilvl="2" w:tplc="AA2CE14C" w:tentative="1">
      <w:start w:val="1"/>
      <w:numFmt w:val="bullet"/>
      <w:lvlText w:val="-"/>
      <w:lvlJc w:val="left"/>
      <w:pPr>
        <w:tabs>
          <w:tab w:val="num" w:pos="2160"/>
        </w:tabs>
        <w:ind w:left="2160" w:hanging="360"/>
      </w:pPr>
      <w:rPr>
        <w:rFonts w:ascii="Times New Roman" w:hAnsi="Times New Roman" w:hint="default"/>
      </w:rPr>
    </w:lvl>
    <w:lvl w:ilvl="3" w:tplc="B0CC341A" w:tentative="1">
      <w:start w:val="1"/>
      <w:numFmt w:val="bullet"/>
      <w:lvlText w:val="-"/>
      <w:lvlJc w:val="left"/>
      <w:pPr>
        <w:tabs>
          <w:tab w:val="num" w:pos="2880"/>
        </w:tabs>
        <w:ind w:left="2880" w:hanging="360"/>
      </w:pPr>
      <w:rPr>
        <w:rFonts w:ascii="Times New Roman" w:hAnsi="Times New Roman" w:hint="default"/>
      </w:rPr>
    </w:lvl>
    <w:lvl w:ilvl="4" w:tplc="38FEEA12" w:tentative="1">
      <w:start w:val="1"/>
      <w:numFmt w:val="bullet"/>
      <w:lvlText w:val="-"/>
      <w:lvlJc w:val="left"/>
      <w:pPr>
        <w:tabs>
          <w:tab w:val="num" w:pos="3600"/>
        </w:tabs>
        <w:ind w:left="3600" w:hanging="360"/>
      </w:pPr>
      <w:rPr>
        <w:rFonts w:ascii="Times New Roman" w:hAnsi="Times New Roman" w:hint="default"/>
      </w:rPr>
    </w:lvl>
    <w:lvl w:ilvl="5" w:tplc="74123AE0" w:tentative="1">
      <w:start w:val="1"/>
      <w:numFmt w:val="bullet"/>
      <w:lvlText w:val="-"/>
      <w:lvlJc w:val="left"/>
      <w:pPr>
        <w:tabs>
          <w:tab w:val="num" w:pos="4320"/>
        </w:tabs>
        <w:ind w:left="4320" w:hanging="360"/>
      </w:pPr>
      <w:rPr>
        <w:rFonts w:ascii="Times New Roman" w:hAnsi="Times New Roman" w:hint="default"/>
      </w:rPr>
    </w:lvl>
    <w:lvl w:ilvl="6" w:tplc="FD148796" w:tentative="1">
      <w:start w:val="1"/>
      <w:numFmt w:val="bullet"/>
      <w:lvlText w:val="-"/>
      <w:lvlJc w:val="left"/>
      <w:pPr>
        <w:tabs>
          <w:tab w:val="num" w:pos="5040"/>
        </w:tabs>
        <w:ind w:left="5040" w:hanging="360"/>
      </w:pPr>
      <w:rPr>
        <w:rFonts w:ascii="Times New Roman" w:hAnsi="Times New Roman" w:hint="default"/>
      </w:rPr>
    </w:lvl>
    <w:lvl w:ilvl="7" w:tplc="2F72AF38" w:tentative="1">
      <w:start w:val="1"/>
      <w:numFmt w:val="bullet"/>
      <w:lvlText w:val="-"/>
      <w:lvlJc w:val="left"/>
      <w:pPr>
        <w:tabs>
          <w:tab w:val="num" w:pos="5760"/>
        </w:tabs>
        <w:ind w:left="5760" w:hanging="360"/>
      </w:pPr>
      <w:rPr>
        <w:rFonts w:ascii="Times New Roman" w:hAnsi="Times New Roman" w:hint="default"/>
      </w:rPr>
    </w:lvl>
    <w:lvl w:ilvl="8" w:tplc="8E52517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8FD"/>
    <w:rsid w:val="00455219"/>
    <w:rsid w:val="00602E0D"/>
    <w:rsid w:val="00AE7008"/>
    <w:rsid w:val="00C938FD"/>
    <w:rsid w:val="00D82B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938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938FD"/>
    <w:pPr>
      <w:spacing w:after="0" w:line="240" w:lineRule="auto"/>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02E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2E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938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938FD"/>
    <w:pPr>
      <w:spacing w:after="0" w:line="240" w:lineRule="auto"/>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02E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2E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94757">
      <w:bodyDiv w:val="1"/>
      <w:marLeft w:val="0"/>
      <w:marRight w:val="0"/>
      <w:marTop w:val="0"/>
      <w:marBottom w:val="0"/>
      <w:divBdr>
        <w:top w:val="none" w:sz="0" w:space="0" w:color="auto"/>
        <w:left w:val="none" w:sz="0" w:space="0" w:color="auto"/>
        <w:bottom w:val="none" w:sz="0" w:space="0" w:color="auto"/>
        <w:right w:val="none" w:sz="0" w:space="0" w:color="auto"/>
      </w:divBdr>
      <w:divsChild>
        <w:div w:id="1043867681">
          <w:marLeft w:val="446"/>
          <w:marRight w:val="0"/>
          <w:marTop w:val="0"/>
          <w:marBottom w:val="0"/>
          <w:divBdr>
            <w:top w:val="none" w:sz="0" w:space="0" w:color="auto"/>
            <w:left w:val="none" w:sz="0" w:space="0" w:color="auto"/>
            <w:bottom w:val="none" w:sz="0" w:space="0" w:color="auto"/>
            <w:right w:val="none" w:sz="0" w:space="0" w:color="auto"/>
          </w:divBdr>
        </w:div>
        <w:div w:id="1928448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217</Words>
  <Characters>1197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Jérôme Dorilleau</dc:creator>
  <cp:lastModifiedBy>Jérôme Dorilleau</cp:lastModifiedBy>
  <cp:revision>3</cp:revision>
  <cp:lastPrinted>2013-05-05T16:01:00Z</cp:lastPrinted>
  <dcterms:created xsi:type="dcterms:W3CDTF">2013-05-05T15:51:00Z</dcterms:created>
  <dcterms:modified xsi:type="dcterms:W3CDTF">2013-05-05T16:05:00Z</dcterms:modified>
</cp:coreProperties>
</file>